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0EE169A"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E41718">
        <w:rPr>
          <w:rFonts w:ascii="Calibri" w:hAnsi="Calibri"/>
        </w:rPr>
        <w:t>ENAV22</w:t>
      </w:r>
      <w:r w:rsidRPr="007A395D">
        <w:rPr>
          <w:rFonts w:ascii="Calibri" w:hAnsi="Calibri"/>
        </w:rPr>
        <w:t>-</w:t>
      </w:r>
      <w:r w:rsidR="00C144FB">
        <w:rPr>
          <w:rFonts w:ascii="Calibri" w:hAnsi="Calibri"/>
        </w:rPr>
        <w:t>9.2.8</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1432A3">
        <w:rPr>
          <w:rFonts w:ascii="Calibri" w:hAnsi="Calibri" w:cs="Arial"/>
          <w:b/>
          <w:sz w:val="24"/>
          <w:szCs w:val="24"/>
          <w:bdr w:val="single" w:sz="4" w:space="0" w:color="auto"/>
        </w:rPr>
        <w:t>□</w:t>
      </w:r>
      <w:r w:rsidRPr="001432A3">
        <w:rPr>
          <w:rFonts w:ascii="Calibri" w:hAnsi="Calibri" w:cs="Arial"/>
          <w:sz w:val="24"/>
          <w:szCs w:val="24"/>
          <w:bdr w:val="single" w:sz="4" w:space="0" w:color="auto"/>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1432A3">
        <w:rPr>
          <w:rFonts w:ascii="Calibri" w:hAnsi="Calibri" w:cs="Arial"/>
          <w:sz w:val="24"/>
          <w:szCs w:val="24"/>
          <w:bdr w:val="single" w:sz="4" w:space="0" w:color="auto"/>
        </w:rPr>
        <w:t xml:space="preserve">□  </w:t>
      </w:r>
      <w:r w:rsidRPr="001432A3">
        <w:rPr>
          <w:rFonts w:ascii="Calibri" w:hAnsi="Calibri" w:cs="Arial"/>
          <w:bdr w:val="single" w:sz="4" w:space="0" w:color="auto"/>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4DD25FD9" w14:textId="632F6242"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144FB">
        <w:rPr>
          <w:rFonts w:ascii="Calibri" w:hAnsi="Calibri"/>
        </w:rPr>
        <w:t>9</w:t>
      </w:r>
    </w:p>
    <w:p w14:paraId="1AB3E246" w14:textId="4BFC5F3E"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C144FB">
        <w:rPr>
          <w:rFonts w:ascii="Calibri" w:hAnsi="Calibri"/>
        </w:rPr>
        <w:t>2.2</w:t>
      </w:r>
      <w:bookmarkStart w:id="0" w:name="_GoBack"/>
      <w:bookmarkEnd w:id="0"/>
    </w:p>
    <w:p w14:paraId="01FC5420" w14:textId="782726BE"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proofErr w:type="gramStart"/>
      <w:r w:rsidR="00FE5674" w:rsidRPr="007A395D">
        <w:rPr>
          <w:rFonts w:ascii="Calibri" w:hAnsi="Calibri"/>
        </w:rPr>
        <w:t>)</w:t>
      </w:r>
      <w:r w:rsidR="00824291">
        <w:rPr>
          <w:rFonts w:ascii="Calibri" w:hAnsi="Calibri"/>
        </w:rPr>
        <w:t xml:space="preserve">  </w:t>
      </w:r>
      <w:r w:rsidR="00471B63">
        <w:rPr>
          <w:rFonts w:ascii="Calibri" w:hAnsi="Calibri"/>
        </w:rPr>
        <w:t>WG</w:t>
      </w:r>
      <w:proofErr w:type="gramEnd"/>
      <w:r w:rsidR="00471B63">
        <w:rPr>
          <w:rFonts w:ascii="Calibri" w:hAnsi="Calibri"/>
        </w:rPr>
        <w:t xml:space="preserve"> 3 </w:t>
      </w:r>
      <w:r w:rsidR="00824291">
        <w:rPr>
          <w:rFonts w:ascii="Calibri" w:hAnsi="Calibri"/>
        </w:rPr>
        <w:t>CG</w:t>
      </w:r>
      <w:r w:rsidR="00471B63">
        <w:rPr>
          <w:rFonts w:ascii="Calibri" w:hAnsi="Calibri"/>
        </w:rPr>
        <w:t xml:space="preserve"> on WRC-19 Agenda Item 1.9.2 </w:t>
      </w:r>
      <w:r w:rsidR="00824291">
        <w:rPr>
          <w:rFonts w:ascii="Calibri" w:hAnsi="Calibri"/>
        </w:rPr>
        <w:t>/</w:t>
      </w:r>
      <w:r w:rsidR="00471B63">
        <w:rPr>
          <w:rFonts w:ascii="Calibri" w:hAnsi="Calibri"/>
        </w:rPr>
        <w:t xml:space="preserve"> J Carson-Jackson, WG3 Chair</w:t>
      </w:r>
    </w:p>
    <w:p w14:paraId="4834080C" w14:textId="0F581360" w:rsidR="00A446C9" w:rsidRPr="00605E43" w:rsidRDefault="00886D88" w:rsidP="00A446C9">
      <w:pPr>
        <w:pStyle w:val="Title"/>
        <w:rPr>
          <w:rFonts w:ascii="Calibri" w:hAnsi="Calibri"/>
          <w:color w:val="0070C0"/>
        </w:rPr>
      </w:pPr>
      <w:r>
        <w:rPr>
          <w:rFonts w:ascii="Calibri" w:hAnsi="Calibri"/>
          <w:color w:val="0070C0"/>
        </w:rPr>
        <w:t>Draft IALA position on WRC-19 Agenda Item 1.9.2 (VDE-SAT)</w:t>
      </w:r>
    </w:p>
    <w:p w14:paraId="0F258596" w14:textId="18706778" w:rsidR="00A446C9" w:rsidRPr="00605E43" w:rsidRDefault="00886D88" w:rsidP="00605E43">
      <w:pPr>
        <w:pStyle w:val="Heading1"/>
      </w:pPr>
      <w:r>
        <w:t>Introduction</w:t>
      </w:r>
    </w:p>
    <w:p w14:paraId="45A8A1CB" w14:textId="77777777" w:rsidR="00BE469E" w:rsidRDefault="00BE469E" w:rsidP="00B56BDF">
      <w:pPr>
        <w:pStyle w:val="BodyText"/>
        <w:rPr>
          <w:rFonts w:ascii="Calibri" w:hAnsi="Calibri"/>
        </w:rPr>
      </w:pPr>
      <w:r w:rsidRPr="00BE469E">
        <w:rPr>
          <w:rFonts w:ascii="Calibri" w:hAnsi="Calibri"/>
        </w:rPr>
        <w:t>IALA, through the work of the experts of the Communications Working Group of the IALA ENAV Committee, continues to advance its work to create the VHF Data Exchange System (VDES) to provide the first world-wide standard communication channel to support e-Navigation.</w:t>
      </w:r>
    </w:p>
    <w:p w14:paraId="5432CFB6" w14:textId="2F9F7125" w:rsidR="00B56BDF" w:rsidRDefault="00886D88" w:rsidP="00B56BDF">
      <w:pPr>
        <w:pStyle w:val="BodyText"/>
        <w:rPr>
          <w:rFonts w:ascii="Calibri" w:hAnsi="Calibri"/>
        </w:rPr>
      </w:pPr>
      <w:r w:rsidRPr="00886D88">
        <w:rPr>
          <w:rFonts w:ascii="Calibri" w:hAnsi="Calibri"/>
        </w:rPr>
        <w:t xml:space="preserve">The World Radiocommunication Conference 2015 (WRC-15) approved the </w:t>
      </w:r>
      <w:r w:rsidR="00B36E7C">
        <w:rPr>
          <w:rFonts w:ascii="Calibri" w:hAnsi="Calibri"/>
        </w:rPr>
        <w:t>allocation</w:t>
      </w:r>
      <w:r w:rsidR="00B36E7C" w:rsidRPr="00886D88">
        <w:rPr>
          <w:rFonts w:ascii="Calibri" w:hAnsi="Calibri"/>
        </w:rPr>
        <w:t xml:space="preserve"> </w:t>
      </w:r>
      <w:r w:rsidRPr="00886D88">
        <w:rPr>
          <w:rFonts w:ascii="Calibri" w:hAnsi="Calibri"/>
        </w:rPr>
        <w:t>of frequencies for the terrestrial component of VDES (ASM and VDE-TER)</w:t>
      </w:r>
      <w:r>
        <w:rPr>
          <w:rFonts w:ascii="Calibri" w:hAnsi="Calibri"/>
        </w:rPr>
        <w:t>,</w:t>
      </w:r>
      <w:r w:rsidRPr="00886D88">
        <w:rPr>
          <w:rFonts w:ascii="Calibri" w:hAnsi="Calibri"/>
        </w:rPr>
        <w:t xml:space="preserve"> but </w:t>
      </w:r>
      <w:r w:rsidR="00A6270F">
        <w:rPr>
          <w:rFonts w:ascii="Calibri" w:hAnsi="Calibri"/>
        </w:rPr>
        <w:t>requested further compatibility and sharing studies</w:t>
      </w:r>
      <w:r w:rsidRPr="00886D88">
        <w:rPr>
          <w:rFonts w:ascii="Calibri" w:hAnsi="Calibri"/>
        </w:rPr>
        <w:t xml:space="preserve"> between the proposed satellite component of VDES (VDE-SAT) and other services in the same, and in the adjacent, frequency bands. The decision to </w:t>
      </w:r>
      <w:r w:rsidR="00B36E7C">
        <w:rPr>
          <w:rFonts w:ascii="Calibri" w:hAnsi="Calibri"/>
        </w:rPr>
        <w:t>allocate</w:t>
      </w:r>
      <w:r w:rsidR="00B36E7C" w:rsidRPr="00886D88">
        <w:rPr>
          <w:rFonts w:ascii="Calibri" w:hAnsi="Calibri"/>
        </w:rPr>
        <w:t xml:space="preserve"> </w:t>
      </w:r>
      <w:r w:rsidRPr="00886D88">
        <w:rPr>
          <w:rFonts w:ascii="Calibri" w:hAnsi="Calibri"/>
        </w:rPr>
        <w:t>frequencies for VDE-SAT was deferred until WRC-19, subject to further studies, including consideration of alternative frequency plans for VDE-SAT.</w:t>
      </w:r>
      <w:r>
        <w:rPr>
          <w:rFonts w:ascii="Calibri" w:hAnsi="Calibri"/>
        </w:rPr>
        <w:t xml:space="preserve"> </w:t>
      </w:r>
      <w:r w:rsidRPr="00886D88">
        <w:rPr>
          <w:rFonts w:ascii="Calibri" w:hAnsi="Calibri"/>
        </w:rPr>
        <w:t xml:space="preserve">IALA has provided contributions to the on-going compatibility and sharing studies for VDE-SAT to all ITU-R WP 5B meetings since WRC-15, addressing </w:t>
      </w:r>
      <w:r w:rsidR="00B36E7C">
        <w:rPr>
          <w:rFonts w:ascii="Calibri" w:hAnsi="Calibri"/>
        </w:rPr>
        <w:t>questions</w:t>
      </w:r>
      <w:r w:rsidR="00B36E7C" w:rsidRPr="00886D88">
        <w:rPr>
          <w:rFonts w:ascii="Calibri" w:hAnsi="Calibri"/>
        </w:rPr>
        <w:t xml:space="preserve"> </w:t>
      </w:r>
      <w:r w:rsidRPr="00886D88">
        <w:rPr>
          <w:rFonts w:ascii="Calibri" w:hAnsi="Calibri"/>
        </w:rPr>
        <w:t>raised</w:t>
      </w:r>
      <w:r w:rsidR="00DC04E4">
        <w:rPr>
          <w:rFonts w:ascii="Calibri" w:hAnsi="Calibri"/>
        </w:rPr>
        <w:t xml:space="preserve"> by providing analyses to show compatibility with incumbent services</w:t>
      </w:r>
      <w:r w:rsidRPr="00886D88">
        <w:rPr>
          <w:rFonts w:ascii="Calibri" w:hAnsi="Calibri"/>
        </w:rPr>
        <w:t>.</w:t>
      </w:r>
      <w:r w:rsidR="00192A51">
        <w:rPr>
          <w:rFonts w:ascii="Calibri" w:hAnsi="Calibri"/>
        </w:rPr>
        <w:t xml:space="preserve"> The results of sharing studies and compatibility analysis </w:t>
      </w:r>
      <w:r w:rsidR="00B36E7C">
        <w:rPr>
          <w:rFonts w:ascii="Calibri" w:hAnsi="Calibri"/>
        </w:rPr>
        <w:t>are</w:t>
      </w:r>
      <w:r w:rsidR="00192A51">
        <w:rPr>
          <w:rFonts w:ascii="Calibri" w:hAnsi="Calibri"/>
        </w:rPr>
        <w:t xml:space="preserve"> included in </w:t>
      </w:r>
      <w:r w:rsidR="00B36E7C">
        <w:rPr>
          <w:rFonts w:ascii="Calibri" w:hAnsi="Calibri"/>
        </w:rPr>
        <w:t>the latest version of the</w:t>
      </w:r>
      <w:r w:rsidR="00DB6418">
        <w:rPr>
          <w:rFonts w:ascii="Calibri" w:hAnsi="Calibri"/>
        </w:rPr>
        <w:t xml:space="preserve"> “</w:t>
      </w:r>
      <w:r w:rsidR="00192A51">
        <w:rPr>
          <w:rFonts w:ascii="Calibri" w:hAnsi="Calibri"/>
        </w:rPr>
        <w:t xml:space="preserve">Working Document Towards Preliminary Draft </w:t>
      </w:r>
      <w:r w:rsidR="00E43458">
        <w:rPr>
          <w:rFonts w:ascii="Calibri" w:hAnsi="Calibri"/>
        </w:rPr>
        <w:t xml:space="preserve">New </w:t>
      </w:r>
      <w:r w:rsidR="00192A51">
        <w:rPr>
          <w:rFonts w:ascii="Calibri" w:hAnsi="Calibri"/>
        </w:rPr>
        <w:t>Report ITU-R M</w:t>
      </w:r>
      <w:proofErr w:type="gramStart"/>
      <w:r w:rsidR="00192A51">
        <w:rPr>
          <w:rFonts w:ascii="Calibri" w:hAnsi="Calibri"/>
        </w:rPr>
        <w:t>.[</w:t>
      </w:r>
      <w:proofErr w:type="gramEnd"/>
      <w:r w:rsidR="00192A51">
        <w:rPr>
          <w:rFonts w:ascii="Calibri" w:hAnsi="Calibri"/>
        </w:rPr>
        <w:t>VDES-SAT]</w:t>
      </w:r>
      <w:r w:rsidR="00DB6418">
        <w:rPr>
          <w:rFonts w:ascii="Calibri" w:hAnsi="Calibri"/>
        </w:rPr>
        <w:t>”</w:t>
      </w:r>
      <w:r w:rsidR="00B36E7C">
        <w:rPr>
          <w:rFonts w:ascii="Calibri" w:hAnsi="Calibri"/>
        </w:rPr>
        <w:t>, as prepared by ITU-R WP 5B in May 2018 (ITU-R Document 5B/538 (Annex 27))</w:t>
      </w:r>
      <w:r w:rsidR="00422E65">
        <w:rPr>
          <w:rFonts w:ascii="Calibri" w:hAnsi="Calibri"/>
        </w:rPr>
        <w:t>.</w:t>
      </w:r>
    </w:p>
    <w:p w14:paraId="53733F03" w14:textId="35BBB92B" w:rsidR="00A446C9" w:rsidRPr="007A395D" w:rsidRDefault="00BE469E" w:rsidP="00605E43">
      <w:pPr>
        <w:pStyle w:val="Heading1"/>
      </w:pPr>
      <w:r>
        <w:t>Preliminary IALA position on WRC-19 Agenda Item 1.9.2 (VDE-SAT)</w:t>
      </w:r>
    </w:p>
    <w:p w14:paraId="07452EBC" w14:textId="45D584AB" w:rsidR="00A446C9" w:rsidRDefault="00BE469E" w:rsidP="00A446C9">
      <w:pPr>
        <w:pStyle w:val="BodyText"/>
        <w:rPr>
          <w:rFonts w:ascii="Calibri" w:hAnsi="Calibri"/>
        </w:rPr>
      </w:pPr>
      <w:r>
        <w:rPr>
          <w:rFonts w:ascii="Calibri" w:hAnsi="Calibri"/>
        </w:rPr>
        <w:t>IALA supports the introduction of a new primary maritime mobile-satellite (space-to-Earth) service allocation within the frequency band 160.9625-161.4875 MHz, which is not channelized in RR Appendix 18, and the introduction of a new primary maritime mobile-satellite (Earth-to-</w:t>
      </w:r>
      <w:r w:rsidRPr="00BE469E">
        <w:rPr>
          <w:rFonts w:ascii="Calibri" w:hAnsi="Calibri"/>
        </w:rPr>
        <w:t xml:space="preserve"> </w:t>
      </w:r>
      <w:r>
        <w:rPr>
          <w:rFonts w:ascii="Calibri" w:hAnsi="Calibri"/>
        </w:rPr>
        <w:t>space) service allocation in the channels 24, 84, 25, 85, 26, 86 of RR Appendix 18.</w:t>
      </w:r>
    </w:p>
    <w:p w14:paraId="2B4F60B3" w14:textId="4F067490" w:rsidR="00BE469E" w:rsidRDefault="00BE469E" w:rsidP="00A446C9">
      <w:pPr>
        <w:pStyle w:val="BodyText"/>
        <w:rPr>
          <w:rFonts w:ascii="Calibri" w:hAnsi="Calibri"/>
        </w:rPr>
      </w:pPr>
      <w:r>
        <w:rPr>
          <w:rFonts w:ascii="Calibri" w:hAnsi="Calibri"/>
        </w:rPr>
        <w:t>To protect incumbent services</w:t>
      </w:r>
      <w:r w:rsidR="00976D22">
        <w:rPr>
          <w:rFonts w:ascii="Calibri" w:hAnsi="Calibri"/>
        </w:rPr>
        <w:t>, the pfd-mask contained in Recommendation ITU-R M.2092 should be applied to the space-to-Earth allocation for VDE-SAT.</w:t>
      </w:r>
    </w:p>
    <w:p w14:paraId="168D8A7C" w14:textId="33122916" w:rsidR="00976D22" w:rsidRPr="007A395D" w:rsidRDefault="00976D22" w:rsidP="00A446C9">
      <w:pPr>
        <w:pStyle w:val="BodyText"/>
        <w:rPr>
          <w:rFonts w:ascii="Calibri" w:hAnsi="Calibri"/>
        </w:rPr>
      </w:pPr>
      <w:r>
        <w:rPr>
          <w:rFonts w:ascii="Calibri" w:hAnsi="Calibri"/>
        </w:rPr>
        <w:t>This is in line with</w:t>
      </w:r>
      <w:r w:rsidR="002A6544">
        <w:rPr>
          <w:rFonts w:ascii="Calibri" w:hAnsi="Calibri"/>
        </w:rPr>
        <w:t xml:space="preserve"> </w:t>
      </w:r>
      <w:r>
        <w:rPr>
          <w:rFonts w:ascii="Calibri" w:hAnsi="Calibri"/>
        </w:rPr>
        <w:t>Method B of the Draft CPM text as developed by ITU-R WP 5B.</w:t>
      </w:r>
      <w:r w:rsidR="00B36E7C">
        <w:rPr>
          <w:rFonts w:ascii="Calibri" w:hAnsi="Calibri"/>
        </w:rPr>
        <w:t xml:space="preserve"> This method uses</w:t>
      </w:r>
      <w:r w:rsidR="00A6270F" w:rsidRPr="00A6270F">
        <w:rPr>
          <w:rFonts w:ascii="Calibri" w:hAnsi="Calibri"/>
        </w:rPr>
        <w:t xml:space="preserve"> </w:t>
      </w:r>
      <w:r w:rsidR="00A6270F">
        <w:rPr>
          <w:rFonts w:ascii="Calibri" w:hAnsi="Calibri"/>
        </w:rPr>
        <w:t xml:space="preserve">frequency plan alternative 2, which was proposed by IALA, </w:t>
      </w:r>
      <w:r w:rsidR="00B36E7C">
        <w:rPr>
          <w:rFonts w:ascii="Calibri" w:hAnsi="Calibri"/>
        </w:rPr>
        <w:t xml:space="preserve">and is further described </w:t>
      </w:r>
      <w:r w:rsidR="00A6270F">
        <w:rPr>
          <w:rFonts w:ascii="Calibri" w:hAnsi="Calibri"/>
        </w:rPr>
        <w:t xml:space="preserve">in </w:t>
      </w:r>
      <w:r w:rsidR="00B36E7C">
        <w:rPr>
          <w:rFonts w:ascii="Calibri" w:hAnsi="Calibri"/>
        </w:rPr>
        <w:t xml:space="preserve">the </w:t>
      </w:r>
      <w:r w:rsidR="00A6270F">
        <w:rPr>
          <w:rFonts w:ascii="Calibri" w:hAnsi="Calibri"/>
        </w:rPr>
        <w:t>“Working Document Towards Preliminary Draft New Report ITU-R M.[VDES-SAT]”</w:t>
      </w:r>
      <w:r w:rsidR="00B36E7C">
        <w:rPr>
          <w:rFonts w:ascii="Calibri" w:hAnsi="Calibri"/>
        </w:rPr>
        <w:t>, as prepared by ITU-R WP 5B in May 2018 (ITU-R Document 5B/538 (Annex 27))</w:t>
      </w:r>
      <w:r w:rsidR="005367C1">
        <w:rPr>
          <w:rFonts w:ascii="Calibri" w:hAnsi="Calibri"/>
        </w:rPr>
        <w:t>.</w:t>
      </w:r>
    </w:p>
    <w:p w14:paraId="041E9135" w14:textId="32E9FB64" w:rsidR="00A446C9" w:rsidRDefault="00976D22" w:rsidP="00605E43">
      <w:pPr>
        <w:pStyle w:val="Heading1"/>
      </w:pPr>
      <w:r>
        <w:t>Action requested</w:t>
      </w:r>
    </w:p>
    <w:p w14:paraId="0307B7D0" w14:textId="12F9E182" w:rsidR="00976D22" w:rsidRPr="00976D22" w:rsidRDefault="00976D22" w:rsidP="00976D22">
      <w:pPr>
        <w:pStyle w:val="BodyText"/>
        <w:rPr>
          <w:rFonts w:ascii="Calibri" w:hAnsi="Calibri"/>
        </w:rPr>
      </w:pPr>
      <w:r>
        <w:rPr>
          <w:rFonts w:ascii="Calibri" w:hAnsi="Calibri"/>
        </w:rPr>
        <w:t>IALA members are invited to take note of the Draft IALA position on WRC-19 Agenda Item 1.9.2 (VDE-SAT), promote this position</w:t>
      </w:r>
      <w:r w:rsidR="00A6270F">
        <w:rPr>
          <w:rFonts w:ascii="Calibri" w:hAnsi="Calibri"/>
        </w:rPr>
        <w:t xml:space="preserve"> to their ITU representatives</w:t>
      </w:r>
      <w:r w:rsidR="00422E65">
        <w:rPr>
          <w:rFonts w:ascii="Calibri" w:hAnsi="Calibri"/>
        </w:rPr>
        <w:t>,</w:t>
      </w:r>
      <w:r w:rsidR="00A6270F">
        <w:rPr>
          <w:rFonts w:ascii="Calibri" w:hAnsi="Calibri"/>
        </w:rPr>
        <w:t xml:space="preserve"> and</w:t>
      </w:r>
      <w:r>
        <w:rPr>
          <w:rFonts w:ascii="Calibri" w:hAnsi="Calibri"/>
        </w:rPr>
        <w:t xml:space="preserve"> in relevant forums to support the work towards allocation of frequencies to the satellite component of VDES (VDE-SAT) at the WRC-19, noting that f</w:t>
      </w:r>
      <w:r w:rsidR="00EC6093">
        <w:rPr>
          <w:rFonts w:ascii="Calibri" w:hAnsi="Calibri"/>
        </w:rPr>
        <w:t>or VDES to be truly global, the satellite link is required.</w:t>
      </w:r>
    </w:p>
    <w:sectPr w:rsidR="00976D22" w:rsidRPr="00976D22" w:rsidSect="00976D22">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F02E4F" w14:textId="77777777" w:rsidR="0004041C" w:rsidRDefault="0004041C" w:rsidP="00362CD9">
      <w:r>
        <w:separator/>
      </w:r>
    </w:p>
  </w:endnote>
  <w:endnote w:type="continuationSeparator" w:id="0">
    <w:p w14:paraId="158F791E" w14:textId="77777777" w:rsidR="0004041C" w:rsidRDefault="0004041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8E511" w14:textId="77777777" w:rsidR="0004041C" w:rsidRDefault="0004041C" w:rsidP="00362CD9">
      <w:r>
        <w:separator/>
      </w:r>
    </w:p>
  </w:footnote>
  <w:footnote w:type="continuationSeparator" w:id="0">
    <w:p w14:paraId="3FA6B1F3" w14:textId="77777777" w:rsidR="0004041C" w:rsidRDefault="0004041C"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041C"/>
    <w:rsid w:val="0004700E"/>
    <w:rsid w:val="00070C13"/>
    <w:rsid w:val="000715C9"/>
    <w:rsid w:val="00084F33"/>
    <w:rsid w:val="000A77A7"/>
    <w:rsid w:val="000B1707"/>
    <w:rsid w:val="000C1B3E"/>
    <w:rsid w:val="000C349E"/>
    <w:rsid w:val="00100590"/>
    <w:rsid w:val="00110AE7"/>
    <w:rsid w:val="001432A3"/>
    <w:rsid w:val="00177F4D"/>
    <w:rsid w:val="00180DDA"/>
    <w:rsid w:val="00192A51"/>
    <w:rsid w:val="001B2A2D"/>
    <w:rsid w:val="001B737D"/>
    <w:rsid w:val="001C44A3"/>
    <w:rsid w:val="001E0E15"/>
    <w:rsid w:val="001F528A"/>
    <w:rsid w:val="001F704E"/>
    <w:rsid w:val="00201722"/>
    <w:rsid w:val="002125B0"/>
    <w:rsid w:val="00215D52"/>
    <w:rsid w:val="00243228"/>
    <w:rsid w:val="00251483"/>
    <w:rsid w:val="00255CAA"/>
    <w:rsid w:val="00264305"/>
    <w:rsid w:val="00272973"/>
    <w:rsid w:val="002941E7"/>
    <w:rsid w:val="002A0346"/>
    <w:rsid w:val="002A4487"/>
    <w:rsid w:val="002A6544"/>
    <w:rsid w:val="002B49E9"/>
    <w:rsid w:val="002C632E"/>
    <w:rsid w:val="002D3E8B"/>
    <w:rsid w:val="002D4575"/>
    <w:rsid w:val="002D5C0C"/>
    <w:rsid w:val="002E03D1"/>
    <w:rsid w:val="002E6B74"/>
    <w:rsid w:val="002E6FCA"/>
    <w:rsid w:val="0034470B"/>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22E65"/>
    <w:rsid w:val="00431B19"/>
    <w:rsid w:val="004661AD"/>
    <w:rsid w:val="00471B63"/>
    <w:rsid w:val="004A6C1D"/>
    <w:rsid w:val="004D1D85"/>
    <w:rsid w:val="004D3C3A"/>
    <w:rsid w:val="004E1CD1"/>
    <w:rsid w:val="005107EB"/>
    <w:rsid w:val="00521345"/>
    <w:rsid w:val="00526DF0"/>
    <w:rsid w:val="005367C1"/>
    <w:rsid w:val="00545CC4"/>
    <w:rsid w:val="00551FFF"/>
    <w:rsid w:val="005607A2"/>
    <w:rsid w:val="0057198B"/>
    <w:rsid w:val="00573CFE"/>
    <w:rsid w:val="005969F2"/>
    <w:rsid w:val="00597FAE"/>
    <w:rsid w:val="005B32A3"/>
    <w:rsid w:val="005C0D44"/>
    <w:rsid w:val="005C566C"/>
    <w:rsid w:val="005C7E69"/>
    <w:rsid w:val="005E262D"/>
    <w:rsid w:val="005E6946"/>
    <w:rsid w:val="005F23D3"/>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A395D"/>
    <w:rsid w:val="007A711C"/>
    <w:rsid w:val="007B6BD5"/>
    <w:rsid w:val="007C346C"/>
    <w:rsid w:val="007E6479"/>
    <w:rsid w:val="0080294B"/>
    <w:rsid w:val="00824291"/>
    <w:rsid w:val="0082480E"/>
    <w:rsid w:val="00850293"/>
    <w:rsid w:val="00851373"/>
    <w:rsid w:val="00851BA6"/>
    <w:rsid w:val="0085654D"/>
    <w:rsid w:val="00861160"/>
    <w:rsid w:val="0086654F"/>
    <w:rsid w:val="00873F45"/>
    <w:rsid w:val="00886D88"/>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76D22"/>
    <w:rsid w:val="009831C0"/>
    <w:rsid w:val="0099161D"/>
    <w:rsid w:val="00A0389B"/>
    <w:rsid w:val="00A33A3C"/>
    <w:rsid w:val="00A446C9"/>
    <w:rsid w:val="00A546CB"/>
    <w:rsid w:val="00A6270F"/>
    <w:rsid w:val="00A635D6"/>
    <w:rsid w:val="00A8553A"/>
    <w:rsid w:val="00A93AED"/>
    <w:rsid w:val="00AD48B6"/>
    <w:rsid w:val="00AE1319"/>
    <w:rsid w:val="00AE34BB"/>
    <w:rsid w:val="00AE36AC"/>
    <w:rsid w:val="00B226F2"/>
    <w:rsid w:val="00B274DF"/>
    <w:rsid w:val="00B31D3A"/>
    <w:rsid w:val="00B36E7C"/>
    <w:rsid w:val="00B56BDF"/>
    <w:rsid w:val="00B65812"/>
    <w:rsid w:val="00B77AF6"/>
    <w:rsid w:val="00B85CD6"/>
    <w:rsid w:val="00B90A27"/>
    <w:rsid w:val="00B9554D"/>
    <w:rsid w:val="00BB2B9F"/>
    <w:rsid w:val="00BB7D9E"/>
    <w:rsid w:val="00BC2334"/>
    <w:rsid w:val="00BD3CB8"/>
    <w:rsid w:val="00BD4E6F"/>
    <w:rsid w:val="00BE469E"/>
    <w:rsid w:val="00BE5D3E"/>
    <w:rsid w:val="00BF32F0"/>
    <w:rsid w:val="00BF4DCE"/>
    <w:rsid w:val="00C05CE5"/>
    <w:rsid w:val="00C144FB"/>
    <w:rsid w:val="00C6171E"/>
    <w:rsid w:val="00CA6F2C"/>
    <w:rsid w:val="00CF1871"/>
    <w:rsid w:val="00D019CE"/>
    <w:rsid w:val="00D1133E"/>
    <w:rsid w:val="00D17A34"/>
    <w:rsid w:val="00D26628"/>
    <w:rsid w:val="00D332B3"/>
    <w:rsid w:val="00D4161A"/>
    <w:rsid w:val="00D55207"/>
    <w:rsid w:val="00D81801"/>
    <w:rsid w:val="00D92B45"/>
    <w:rsid w:val="00D95962"/>
    <w:rsid w:val="00DB6418"/>
    <w:rsid w:val="00DC04E4"/>
    <w:rsid w:val="00DC389B"/>
    <w:rsid w:val="00DE2FEE"/>
    <w:rsid w:val="00E00BE9"/>
    <w:rsid w:val="00E0237F"/>
    <w:rsid w:val="00E22A11"/>
    <w:rsid w:val="00E31E5C"/>
    <w:rsid w:val="00E41718"/>
    <w:rsid w:val="00E43458"/>
    <w:rsid w:val="00E44DD2"/>
    <w:rsid w:val="00E515B5"/>
    <w:rsid w:val="00E558C3"/>
    <w:rsid w:val="00E55927"/>
    <w:rsid w:val="00E60540"/>
    <w:rsid w:val="00E912A6"/>
    <w:rsid w:val="00EA4844"/>
    <w:rsid w:val="00EA4D9C"/>
    <w:rsid w:val="00EA5A97"/>
    <w:rsid w:val="00EB75EE"/>
    <w:rsid w:val="00EC6093"/>
    <w:rsid w:val="00ED5E7C"/>
    <w:rsid w:val="00EE4C1D"/>
    <w:rsid w:val="00EF3685"/>
    <w:rsid w:val="00F04350"/>
    <w:rsid w:val="00F133DB"/>
    <w:rsid w:val="00F159EB"/>
    <w:rsid w:val="00F25BF4"/>
    <w:rsid w:val="00F267DB"/>
    <w:rsid w:val="00F46F6F"/>
    <w:rsid w:val="00F5389D"/>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886D88"/>
    <w:pPr>
      <w:spacing w:before="100" w:beforeAutospacing="1" w:after="100" w:afterAutospacing="1"/>
    </w:pPr>
    <w:rPr>
      <w:rFonts w:ascii="Times New Roman" w:eastAsiaTheme="minorEastAsia" w:hAnsi="Times New Roman" w:cs="Times New Roman"/>
      <w:sz w:val="24"/>
      <w:szCs w:val="24"/>
      <w:lang w:val="nb-NO" w:eastAsia="nb-NO"/>
    </w:rPr>
  </w:style>
  <w:style w:type="paragraph" w:styleId="Revision">
    <w:name w:val="Revision"/>
    <w:hidden/>
    <w:uiPriority w:val="99"/>
    <w:semiHidden/>
    <w:rsid w:val="00A6270F"/>
    <w:rPr>
      <w:rFonts w:ascii="Arial" w:hAnsi="Arial"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886D88"/>
    <w:pPr>
      <w:spacing w:before="100" w:beforeAutospacing="1" w:after="100" w:afterAutospacing="1"/>
    </w:pPr>
    <w:rPr>
      <w:rFonts w:ascii="Times New Roman" w:eastAsiaTheme="minorEastAsia" w:hAnsi="Times New Roman" w:cs="Times New Roman"/>
      <w:sz w:val="24"/>
      <w:szCs w:val="24"/>
      <w:lang w:val="nb-NO" w:eastAsia="nb-NO"/>
    </w:rPr>
  </w:style>
  <w:style w:type="paragraph" w:styleId="Revision">
    <w:name w:val="Revision"/>
    <w:hidden/>
    <w:uiPriority w:val="99"/>
    <w:semiHidden/>
    <w:rsid w:val="00A6270F"/>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ACEC6-85D0-4419-96F3-BCD537D77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455</Words>
  <Characters>2503</Characters>
  <Application>Microsoft Office Word</Application>
  <DocSecurity>0</DocSecurity>
  <Lines>20</Lines>
  <Paragraphs>5</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dcterms:created xsi:type="dcterms:W3CDTF">2018-09-07T08:49:00Z</dcterms:created>
  <dcterms:modified xsi:type="dcterms:W3CDTF">2018-09-12T14:59:00Z</dcterms:modified>
</cp:coreProperties>
</file>